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word/embeddings/oleObject2.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BA" w:rsidRDefault="004E4D2D">
      <w:pPr>
        <w:pStyle w:val="Obsah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4E4D2D">
        <w:fldChar w:fldCharType="begin"/>
      </w:r>
      <w:r w:rsidR="00123251">
        <w:instrText xml:space="preserve"> TOC \o "1-3" \h \z \u </w:instrText>
      </w:r>
      <w:r w:rsidRPr="004E4D2D">
        <w:fldChar w:fldCharType="separate"/>
      </w:r>
      <w:hyperlink w:anchor="_Toc505918310" w:history="1">
        <w:r w:rsidR="00E369BA" w:rsidRPr="000377C3">
          <w:rPr>
            <w:rStyle w:val="Hypertextovodkaz"/>
            <w:noProof/>
          </w:rPr>
          <w:t>1. Všeobecné údaje</w:t>
        </w:r>
        <w:r w:rsidR="00E369BA">
          <w:rPr>
            <w:noProof/>
            <w:webHidden/>
          </w:rPr>
          <w:tab/>
        </w:r>
        <w:r w:rsidR="00E369BA">
          <w:rPr>
            <w:noProof/>
            <w:webHidden/>
          </w:rPr>
          <w:fldChar w:fldCharType="begin"/>
        </w:r>
        <w:r w:rsidR="00E369BA">
          <w:rPr>
            <w:noProof/>
            <w:webHidden/>
          </w:rPr>
          <w:instrText xml:space="preserve"> PAGEREF _Toc505918310 \h </w:instrText>
        </w:r>
        <w:r w:rsidR="00E369BA">
          <w:rPr>
            <w:noProof/>
            <w:webHidden/>
          </w:rPr>
        </w:r>
        <w:r w:rsidR="00E369BA">
          <w:rPr>
            <w:noProof/>
            <w:webHidden/>
          </w:rPr>
          <w:fldChar w:fldCharType="separate"/>
        </w:r>
        <w:r w:rsidR="00E369BA">
          <w:rPr>
            <w:noProof/>
            <w:webHidden/>
          </w:rPr>
          <w:t>3</w:t>
        </w:r>
        <w:r w:rsidR="00E369BA">
          <w:rPr>
            <w:noProof/>
            <w:webHidden/>
          </w:rPr>
          <w:fldChar w:fldCharType="end"/>
        </w:r>
      </w:hyperlink>
    </w:p>
    <w:p w:rsidR="00E369BA" w:rsidRDefault="00E369BA">
      <w:pPr>
        <w:pStyle w:val="Obsah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hyperlink w:anchor="_Toc505918311" w:history="1">
        <w:r w:rsidRPr="000377C3">
          <w:rPr>
            <w:rStyle w:val="Hypertextovodkaz"/>
            <w:noProof/>
          </w:rPr>
          <w:t>2. Ročná potreba tepla na vykurovanie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_Toc505918311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69BA" w:rsidRDefault="00E369BA">
      <w:pPr>
        <w:pStyle w:val="Obsah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hyperlink w:anchor="_Toc505918312" w:history="1">
        <w:r w:rsidRPr="000377C3">
          <w:rPr>
            <w:rStyle w:val="Hypertextovodkaz"/>
            <w:noProof/>
          </w:rPr>
          <w:t>3. Opis vykurovacieho systému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_Toc505918312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69BA" w:rsidRDefault="00E369BA">
      <w:pPr>
        <w:pStyle w:val="Obsah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hyperlink w:anchor="_Toc505918313" w:history="1">
        <w:r w:rsidRPr="000377C3">
          <w:rPr>
            <w:rStyle w:val="Hypertextovodkaz"/>
            <w:noProof/>
          </w:rPr>
          <w:t>4. Vykurovacie telesá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_Toc505918313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69BA" w:rsidRDefault="00E369BA">
      <w:pPr>
        <w:pStyle w:val="Obsah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hyperlink w:anchor="_Toc505918314" w:history="1">
        <w:r w:rsidRPr="000377C3">
          <w:rPr>
            <w:rStyle w:val="Hypertextovodkaz"/>
            <w:noProof/>
          </w:rPr>
          <w:t>5. Rozvodné potrubie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_Toc505918314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369BA" w:rsidRDefault="00E369BA">
      <w:pPr>
        <w:pStyle w:val="Obsah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hyperlink w:anchor="_Toc505918315" w:history="1">
        <w:r w:rsidRPr="000377C3">
          <w:rPr>
            <w:rStyle w:val="Hypertextovodkaz"/>
            <w:noProof/>
          </w:rPr>
          <w:t>6. Zdroj  tepla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_Toc505918315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369BA" w:rsidRDefault="00E369BA">
      <w:pPr>
        <w:pStyle w:val="Obsah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hyperlink w:anchor="_Toc505918316" w:history="1">
        <w:r w:rsidRPr="000377C3">
          <w:rPr>
            <w:rStyle w:val="Hypertextovodkaz"/>
            <w:noProof/>
          </w:rPr>
          <w:t>7. Záver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_Toc505918316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23251" w:rsidRDefault="004E4D2D">
      <w:pPr>
        <w:rPr>
          <w:b/>
          <w:caps/>
          <w:sz w:val="20"/>
        </w:rPr>
      </w:pPr>
      <w:r>
        <w:rPr>
          <w:sz w:val="20"/>
        </w:rPr>
        <w:fldChar w:fldCharType="end"/>
      </w:r>
    </w:p>
    <w:p w:rsidR="00123251" w:rsidRDefault="00123251">
      <w:pPr>
        <w:rPr>
          <w:sz w:val="20"/>
        </w:rPr>
      </w:pPr>
    </w:p>
    <w:p w:rsidR="00D05FEB" w:rsidRDefault="00D05FEB">
      <w:pPr>
        <w:rPr>
          <w:sz w:val="20"/>
        </w:rPr>
      </w:pPr>
    </w:p>
    <w:p w:rsidR="00D05FEB" w:rsidRDefault="00D05FEB">
      <w:pPr>
        <w:rPr>
          <w:sz w:val="20"/>
        </w:rPr>
      </w:pPr>
    </w:p>
    <w:p w:rsidR="00D05FEB" w:rsidRDefault="00D05FEB">
      <w:pPr>
        <w:rPr>
          <w:sz w:val="20"/>
        </w:rPr>
      </w:pPr>
    </w:p>
    <w:p w:rsidR="00D05FEB" w:rsidRDefault="00D05FEB">
      <w:pPr>
        <w:rPr>
          <w:sz w:val="20"/>
        </w:rPr>
      </w:pPr>
    </w:p>
    <w:p w:rsidR="00D05FEB" w:rsidRDefault="00D05FEB">
      <w:pPr>
        <w:rPr>
          <w:sz w:val="20"/>
        </w:rPr>
      </w:pPr>
    </w:p>
    <w:p w:rsidR="00D05FEB" w:rsidRDefault="00D05FEB">
      <w:pPr>
        <w:rPr>
          <w:sz w:val="20"/>
        </w:rPr>
      </w:pPr>
    </w:p>
    <w:p w:rsidR="00B6409E" w:rsidRDefault="00B6409E">
      <w:pPr>
        <w:rPr>
          <w:sz w:val="20"/>
        </w:rPr>
      </w:pPr>
    </w:p>
    <w:p w:rsidR="00B6409E" w:rsidRDefault="00B6409E">
      <w:pPr>
        <w:rPr>
          <w:sz w:val="20"/>
        </w:rPr>
      </w:pPr>
    </w:p>
    <w:p w:rsidR="00D05FEB" w:rsidRDefault="00D05FEB">
      <w:pPr>
        <w:rPr>
          <w:sz w:val="20"/>
        </w:rPr>
      </w:pPr>
    </w:p>
    <w:p w:rsidR="00E369BA" w:rsidRDefault="00E369BA">
      <w:pPr>
        <w:rPr>
          <w:sz w:val="20"/>
        </w:rPr>
      </w:pPr>
    </w:p>
    <w:p w:rsidR="00E369BA" w:rsidRDefault="00E369BA">
      <w:pPr>
        <w:rPr>
          <w:sz w:val="20"/>
        </w:rPr>
      </w:pPr>
    </w:p>
    <w:p w:rsidR="00E369BA" w:rsidRDefault="00E369BA">
      <w:pPr>
        <w:rPr>
          <w:sz w:val="20"/>
        </w:rPr>
      </w:pPr>
    </w:p>
    <w:p w:rsidR="00E369BA" w:rsidRDefault="00E369BA">
      <w:pPr>
        <w:rPr>
          <w:sz w:val="20"/>
        </w:rPr>
      </w:pPr>
    </w:p>
    <w:p w:rsidR="00E369BA" w:rsidRDefault="00E369BA">
      <w:pPr>
        <w:rPr>
          <w:sz w:val="20"/>
        </w:rPr>
      </w:pPr>
    </w:p>
    <w:p w:rsidR="00E369BA" w:rsidRDefault="00E369BA">
      <w:pPr>
        <w:rPr>
          <w:sz w:val="20"/>
        </w:rPr>
      </w:pPr>
    </w:p>
    <w:p w:rsidR="00E369BA" w:rsidRDefault="00E369BA">
      <w:pPr>
        <w:rPr>
          <w:sz w:val="20"/>
        </w:rPr>
      </w:pPr>
    </w:p>
    <w:p w:rsidR="00E369BA" w:rsidRDefault="00E369BA">
      <w:pPr>
        <w:rPr>
          <w:sz w:val="20"/>
        </w:rPr>
      </w:pPr>
    </w:p>
    <w:p w:rsidR="00D05FEB" w:rsidRDefault="00D05FEB">
      <w:pPr>
        <w:rPr>
          <w:sz w:val="20"/>
        </w:rPr>
      </w:pPr>
    </w:p>
    <w:p w:rsidR="00D05FEB" w:rsidRDefault="00D05FEB">
      <w:pPr>
        <w:rPr>
          <w:sz w:val="20"/>
        </w:rPr>
      </w:pPr>
    </w:p>
    <w:p w:rsidR="00D05FEB" w:rsidRDefault="00D05FEB">
      <w:pPr>
        <w:rPr>
          <w:sz w:val="20"/>
        </w:rPr>
      </w:pPr>
    </w:p>
    <w:p w:rsidR="00D05FEB" w:rsidRDefault="00D05FEB">
      <w:pPr>
        <w:rPr>
          <w:sz w:val="20"/>
        </w:rPr>
      </w:pPr>
    </w:p>
    <w:p w:rsidR="00B6409E" w:rsidRDefault="00B6409E">
      <w:pPr>
        <w:rPr>
          <w:sz w:val="20"/>
        </w:rPr>
      </w:pPr>
    </w:p>
    <w:p w:rsidR="00B6409E" w:rsidRDefault="00B6409E">
      <w:pPr>
        <w:rPr>
          <w:sz w:val="20"/>
        </w:rPr>
      </w:pPr>
    </w:p>
    <w:p w:rsidR="00B6409E" w:rsidRDefault="00B6409E">
      <w:pPr>
        <w:rPr>
          <w:sz w:val="20"/>
        </w:rPr>
      </w:pPr>
    </w:p>
    <w:p w:rsidR="00D05FEB" w:rsidRDefault="00D05FEB">
      <w:pPr>
        <w:rPr>
          <w:sz w:val="20"/>
        </w:rPr>
      </w:pPr>
    </w:p>
    <w:p w:rsidR="00D05FEB" w:rsidRDefault="00D05FEB">
      <w:pPr>
        <w:rPr>
          <w:sz w:val="20"/>
        </w:rPr>
      </w:pPr>
    </w:p>
    <w:p w:rsidR="00152E93" w:rsidRDefault="00152E93">
      <w:pPr>
        <w:rPr>
          <w:sz w:val="20"/>
        </w:rPr>
      </w:pPr>
    </w:p>
    <w:p w:rsidR="00152E93" w:rsidRDefault="00152E93">
      <w:pPr>
        <w:rPr>
          <w:sz w:val="20"/>
        </w:rPr>
      </w:pPr>
    </w:p>
    <w:p w:rsidR="00152E93" w:rsidRDefault="00152E93">
      <w:pPr>
        <w:rPr>
          <w:sz w:val="20"/>
        </w:rPr>
      </w:pPr>
    </w:p>
    <w:p w:rsidR="00D05FEB" w:rsidRDefault="00D05FEB">
      <w:pPr>
        <w:rPr>
          <w:sz w:val="20"/>
        </w:rPr>
      </w:pPr>
    </w:p>
    <w:p w:rsidR="00D05FEB" w:rsidRDefault="00D05FEB">
      <w:pPr>
        <w:rPr>
          <w:sz w:val="20"/>
        </w:rPr>
      </w:pPr>
    </w:p>
    <w:p w:rsidR="00D05FEB" w:rsidRDefault="00D05FEB">
      <w:pPr>
        <w:rPr>
          <w:sz w:val="20"/>
        </w:rPr>
      </w:pPr>
    </w:p>
    <w:p w:rsidR="00123251" w:rsidRDefault="00123251" w:rsidP="00D67655">
      <w:pPr>
        <w:pStyle w:val="Nadpis1"/>
      </w:pPr>
      <w:bookmarkStart w:id="0" w:name="_Toc505918310"/>
      <w:r>
        <w:lastRenderedPageBreak/>
        <w:t>Všeobecné údaje</w:t>
      </w:r>
      <w:bookmarkEnd w:id="0"/>
    </w:p>
    <w:p w:rsidR="00B6796B" w:rsidRDefault="001A5B97" w:rsidP="003A5C3B">
      <w:r>
        <w:t xml:space="preserve">Predmetom projektu je navrhnúť systém vykurovania pre </w:t>
      </w:r>
      <w:r w:rsidR="006628D8">
        <w:t>novú miestnosť dielne</w:t>
      </w:r>
      <w:r>
        <w:t xml:space="preserve">. </w:t>
      </w:r>
      <w:r w:rsidRPr="00D05FEB">
        <w:t>Tepelné straty</w:t>
      </w:r>
      <w:r>
        <w:t xml:space="preserve"> o</w:t>
      </w:r>
      <w:r>
        <w:t>b</w:t>
      </w:r>
      <w:r>
        <w:t>jektu boli vypočítané podľa STN EN 12 831 pre vonkajšiu exteriérovú teplotu t</w:t>
      </w:r>
      <w:r>
        <w:rPr>
          <w:vertAlign w:val="subscript"/>
        </w:rPr>
        <w:t>e</w:t>
      </w:r>
      <w:r>
        <w:t>= -1</w:t>
      </w:r>
      <w:r w:rsidR="006628D8">
        <w:t>5</w:t>
      </w:r>
      <w:r>
        <w:rPr>
          <w:vertAlign w:val="superscript"/>
        </w:rPr>
        <w:t>0</w:t>
      </w:r>
      <w:r>
        <w:t>C, krajinu no</w:t>
      </w:r>
      <w:r>
        <w:t>r</w:t>
      </w:r>
      <w:r>
        <w:t>málnu, budovu s</w:t>
      </w:r>
      <w:r>
        <w:t>a</w:t>
      </w:r>
      <w:r>
        <w:t>mostatne stojacu</w:t>
      </w:r>
      <w:r w:rsidR="006628D8">
        <w:t xml:space="preserve"> </w:t>
      </w:r>
      <w:r>
        <w:t>s uvažovaním stavebných materiálov uvedených v stavebnej časti projektu</w:t>
      </w:r>
      <w:r w:rsidR="003830AA">
        <w:t xml:space="preserve">. Projekt je vypracovaný na základe projektu ASR, </w:t>
      </w:r>
      <w:r w:rsidR="003830AA" w:rsidRPr="003830AA">
        <w:t>technick</w:t>
      </w:r>
      <w:r w:rsidR="003830AA" w:rsidRPr="003830AA">
        <w:rPr>
          <w:rFonts w:hint="eastAsia"/>
        </w:rPr>
        <w:t>ý</w:t>
      </w:r>
      <w:r w:rsidR="003830AA" w:rsidRPr="003830AA">
        <w:t>ch podkladov v</w:t>
      </w:r>
      <w:r w:rsidR="003830AA" w:rsidRPr="003830AA">
        <w:rPr>
          <w:rFonts w:hint="eastAsia"/>
        </w:rPr>
        <w:t>ý</w:t>
      </w:r>
      <w:r w:rsidR="003830AA" w:rsidRPr="003830AA">
        <w:t>robcov pou</w:t>
      </w:r>
      <w:r w:rsidR="003830AA" w:rsidRPr="003830AA">
        <w:rPr>
          <w:rFonts w:hint="eastAsia"/>
        </w:rPr>
        <w:t>ž</w:t>
      </w:r>
      <w:r w:rsidR="003830AA" w:rsidRPr="003830AA">
        <w:t>i</w:t>
      </w:r>
      <w:r w:rsidR="003830AA" w:rsidRPr="003830AA">
        <w:t>t</w:t>
      </w:r>
      <w:r w:rsidR="003830AA" w:rsidRPr="003830AA">
        <w:rPr>
          <w:rFonts w:hint="eastAsia"/>
        </w:rPr>
        <w:t>ý</w:t>
      </w:r>
      <w:r w:rsidR="003830AA" w:rsidRPr="003830AA">
        <w:t>ch techn</w:t>
      </w:r>
      <w:r w:rsidR="003830AA" w:rsidRPr="003830AA">
        <w:t>o</w:t>
      </w:r>
      <w:r w:rsidR="003830AA" w:rsidRPr="003830AA">
        <w:t>logick</w:t>
      </w:r>
      <w:r w:rsidR="003830AA" w:rsidRPr="003830AA">
        <w:rPr>
          <w:rFonts w:hint="eastAsia"/>
        </w:rPr>
        <w:t>ý</w:t>
      </w:r>
      <w:r w:rsidR="003830AA" w:rsidRPr="003830AA">
        <w:t>ch zariaden</w:t>
      </w:r>
      <w:r w:rsidR="003830AA" w:rsidRPr="003830AA">
        <w:rPr>
          <w:rFonts w:hint="eastAsia"/>
        </w:rPr>
        <w:t>í</w:t>
      </w:r>
      <w:r w:rsidR="003830AA">
        <w:t>, platných technických noriem a požiadaviek investora.</w:t>
      </w:r>
    </w:p>
    <w:p w:rsidR="00D05FEB" w:rsidRDefault="00D05FEB" w:rsidP="00D05FEB">
      <w:r>
        <w:tab/>
        <w:t>Tepelné straty vykurovaných miestností</w:t>
      </w:r>
      <w:r w:rsidR="000A3433">
        <w:tab/>
      </w:r>
      <w:r w:rsidR="000A3433">
        <w:tab/>
      </w:r>
      <w:r w:rsidR="00C57351">
        <w:tab/>
      </w:r>
      <w:r w:rsidR="00C57351">
        <w:tab/>
      </w:r>
      <w:r w:rsidR="00B41A32">
        <w:t>1</w:t>
      </w:r>
      <w:r w:rsidR="006628D8">
        <w:t>3</w:t>
      </w:r>
      <w:r w:rsidR="008A59FA">
        <w:t>,</w:t>
      </w:r>
      <w:r w:rsidR="00D03649">
        <w:t>6</w:t>
      </w:r>
      <w:r>
        <w:t>kW</w:t>
      </w:r>
    </w:p>
    <w:p w:rsidR="00D05FEB" w:rsidRDefault="003B3951" w:rsidP="00D05FEB">
      <w:r>
        <w:tab/>
      </w:r>
      <w:r w:rsidR="00B41A32">
        <w:t>Teplot</w:t>
      </w:r>
      <w:r w:rsidR="006628D8">
        <w:t>ný</w:t>
      </w:r>
      <w:r w:rsidR="00B41A32">
        <w:t xml:space="preserve"> spád vykurovacích telies</w:t>
      </w:r>
      <w:r w:rsidR="00766612">
        <w:tab/>
      </w:r>
      <w:r w:rsidR="00766612">
        <w:tab/>
      </w:r>
      <w:r w:rsidR="00766612">
        <w:tab/>
      </w:r>
      <w:r w:rsidR="00766612">
        <w:tab/>
      </w:r>
      <w:r w:rsidR="00766612">
        <w:tab/>
      </w:r>
      <w:r w:rsidR="00B41A32">
        <w:t>70/5</w:t>
      </w:r>
      <w:r w:rsidR="006628D8">
        <w:t>0</w:t>
      </w:r>
      <w:r w:rsidR="00766612">
        <w:t>°C</w:t>
      </w:r>
    </w:p>
    <w:p w:rsidR="006D548F" w:rsidRDefault="006D548F" w:rsidP="00D05FEB">
      <w:r>
        <w:tab/>
      </w:r>
    </w:p>
    <w:p w:rsidR="00B8264A" w:rsidRPr="00B8264A" w:rsidRDefault="00B8264A" w:rsidP="00B8264A">
      <w:pPr>
        <w:pStyle w:val="Nadpis1"/>
      </w:pPr>
      <w:bookmarkStart w:id="1" w:name="_Toc318880111"/>
      <w:bookmarkStart w:id="2" w:name="_Toc505918311"/>
      <w:r w:rsidRPr="00D05FEB">
        <w:t>Ročná potreba tepla na vykurovanie</w:t>
      </w:r>
      <w:bookmarkEnd w:id="1"/>
      <w:bookmarkEnd w:id="2"/>
    </w:p>
    <w:p w:rsidR="00B8264A" w:rsidRPr="0026562D" w:rsidRDefault="00B8264A" w:rsidP="00B8264A">
      <w:r>
        <w:tab/>
      </w:r>
      <w:r w:rsidRPr="000D70FD">
        <w:object w:dxaOrig="3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36pt" o:ole="" fillcolor="window">
            <v:imagedata r:id="rId8" o:title=""/>
          </v:shape>
          <o:OLEObject Type="Embed" ProgID="Equation.3" ShapeID="_x0000_i1025" DrawAspect="Content" ObjectID="_1579660254" r:id="rId9"/>
        </w:object>
      </w:r>
      <w:r>
        <w:tab/>
      </w:r>
      <w:r w:rsidRPr="0026562D">
        <w:rPr>
          <w:szCs w:val="24"/>
        </w:rPr>
        <w:t xml:space="preserve"> [GJ/rok]</w:t>
      </w:r>
    </w:p>
    <w:p w:rsidR="00B8264A" w:rsidRDefault="00B8264A" w:rsidP="00B8264A">
      <w:r w:rsidRPr="000D70FD">
        <w:object w:dxaOrig="300" w:dyaOrig="360">
          <v:shape id="_x0000_i1026" type="#_x0000_t75" style="width:15pt;height:18pt" o:ole="">
            <v:imagedata r:id="rId10" o:title=""/>
          </v:shape>
          <o:OLEObject Type="Embed" ProgID="Equation.3" ShapeID="_x0000_i1026" DrawAspect="Content" ObjectID="_1579660255" r:id="rId11"/>
        </w:object>
      </w:r>
      <w:r>
        <w:tab/>
        <w:t>tepelné straty objektu</w:t>
      </w:r>
      <w:r w:rsidR="00FF6707">
        <w:t xml:space="preserve"> </w:t>
      </w:r>
      <w:r w:rsidR="008A59FA">
        <w:t>1</w:t>
      </w:r>
      <w:r w:rsidR="006628D8">
        <w:t>3</w:t>
      </w:r>
      <w:r w:rsidR="008A59FA">
        <w:t>,</w:t>
      </w:r>
      <w:r w:rsidR="00D03649">
        <w:t>6</w:t>
      </w:r>
      <w:r>
        <w:t xml:space="preserve"> [kW]</w:t>
      </w:r>
    </w:p>
    <w:p w:rsidR="00B8264A" w:rsidRPr="000D70FD" w:rsidRDefault="00B8264A" w:rsidP="00B8264A">
      <w:r w:rsidRPr="000D70FD">
        <w:t>d</w:t>
      </w:r>
      <w:r w:rsidRPr="000D70FD">
        <w:tab/>
        <w:t>počet dní vykurovania v roku alebo za vykurovacie obdobie (2</w:t>
      </w:r>
      <w:r>
        <w:t>2</w:t>
      </w:r>
      <w:r w:rsidR="006628D8">
        <w:t>5</w:t>
      </w:r>
      <w:r w:rsidRPr="000D70FD">
        <w:t xml:space="preserve"> dní)</w:t>
      </w:r>
    </w:p>
    <w:p w:rsidR="00B8264A" w:rsidRPr="000D70FD" w:rsidRDefault="00B8264A" w:rsidP="00B8264A">
      <w:r>
        <w:t>ti</w:t>
      </w:r>
      <w:r>
        <w:tab/>
        <w:t>p</w:t>
      </w:r>
      <w:r w:rsidRPr="000D70FD">
        <w:t>riemerná výpočtová vnútorná teplota (+</w:t>
      </w:r>
      <w:r w:rsidR="006628D8">
        <w:t>18</w:t>
      </w:r>
      <w:r w:rsidR="00B41A32">
        <w:t xml:space="preserve"> </w:t>
      </w:r>
      <w:r w:rsidRPr="000D70FD">
        <w:t>°C)</w:t>
      </w:r>
    </w:p>
    <w:p w:rsidR="00B8264A" w:rsidRPr="000D70FD" w:rsidRDefault="00B8264A" w:rsidP="00B8264A">
      <w:r w:rsidRPr="000D70FD">
        <w:t>te</w:t>
      </w:r>
      <w:r w:rsidRPr="000D70FD">
        <w:tab/>
        <w:t>vonkajšia výpočtová teplota (-1</w:t>
      </w:r>
      <w:r w:rsidR="006628D8">
        <w:t>5</w:t>
      </w:r>
      <w:r w:rsidRPr="000D70FD">
        <w:t>°C)</w:t>
      </w:r>
    </w:p>
    <w:p w:rsidR="00B8264A" w:rsidRPr="000D70FD" w:rsidRDefault="00B8264A" w:rsidP="00B8264A">
      <w:r w:rsidRPr="000D70FD">
        <w:t>te,pr</w:t>
      </w:r>
      <w:r w:rsidRPr="000D70FD">
        <w:tab/>
        <w:t>priemerná vonkajšia teplota vzduchu</w:t>
      </w:r>
      <w:r>
        <w:t xml:space="preserve"> za vykurovacie obdobie d (+</w:t>
      </w:r>
      <w:r w:rsidR="003830AA">
        <w:t>3</w:t>
      </w:r>
      <w:r>
        <w:t>,</w:t>
      </w:r>
      <w:r w:rsidR="00B36FC3">
        <w:t>6</w:t>
      </w:r>
      <w:r>
        <w:t>°</w:t>
      </w:r>
      <w:r w:rsidRPr="000D70FD">
        <w:t>C)</w:t>
      </w:r>
    </w:p>
    <w:p w:rsidR="00B8264A" w:rsidRPr="000D70FD" w:rsidRDefault="00B8264A" w:rsidP="00B8264A">
      <w:r w:rsidRPr="000D70FD">
        <w:object w:dxaOrig="200" w:dyaOrig="220">
          <v:shape id="_x0000_i1027" type="#_x0000_t75" style="width:9.75pt;height:11.25pt" o:ole="" fillcolor="window">
            <v:imagedata r:id="rId12" o:title=""/>
          </v:shape>
          <o:OLEObject Type="Embed" ProgID="Equation.3" ShapeID="_x0000_i1027" DrawAspect="Content" ObjectID="_1579660256" r:id="rId13"/>
        </w:object>
      </w:r>
      <w:r w:rsidRPr="000D70FD">
        <w:tab/>
        <w:t>opravný súčiniteľ vyjadrujúci nesúčasnosť vplyvu tepelnej straty infiltráciou, vplyv regulácie, vplyv režimu vykurovania  cca  0,64 (-)</w:t>
      </w:r>
    </w:p>
    <w:p w:rsidR="00B8264A" w:rsidRDefault="00B8264A" w:rsidP="00B8264A">
      <w:pPr>
        <w:spacing w:line="360" w:lineRule="auto"/>
        <w:ind w:left="426"/>
      </w:pPr>
      <w:r w:rsidRPr="0061273F">
        <w:rPr>
          <w:position w:val="-30"/>
        </w:rPr>
        <w:object w:dxaOrig="3519" w:dyaOrig="720">
          <v:shape id="_x0000_i1028" type="#_x0000_t75" style="width:176.25pt;height:36pt" o:ole="" fillcolor="window">
            <v:imagedata r:id="rId14" o:title=""/>
          </v:shape>
          <o:OLEObject Type="Embed" ProgID="Equation.3" ShapeID="_x0000_i1028" DrawAspect="Content" ObjectID="_1579660257" r:id="rId15"/>
        </w:object>
      </w:r>
      <w:r>
        <w:t xml:space="preserve"> = </w:t>
      </w:r>
      <w:r w:rsidR="00B36FC3" w:rsidRPr="00D03649">
        <w:rPr>
          <w:position w:val="-28"/>
        </w:rPr>
        <w:object w:dxaOrig="3580" w:dyaOrig="660">
          <v:shape id="_x0000_i1030" type="#_x0000_t75" style="width:179.25pt;height:33pt" o:ole="">
            <v:imagedata r:id="rId16" o:title=""/>
          </v:shape>
          <o:OLEObject Type="Embed" ProgID="Equation.3" ShapeID="_x0000_i1030" DrawAspect="Content" ObjectID="_1579660258" r:id="rId17"/>
        </w:object>
      </w:r>
      <w:r>
        <w:t xml:space="preserve"> = </w:t>
      </w:r>
    </w:p>
    <w:p w:rsidR="00B8264A" w:rsidRDefault="00B8264A" w:rsidP="00B8264A">
      <w:pPr>
        <w:spacing w:line="360" w:lineRule="auto"/>
        <w:ind w:left="426"/>
        <w:rPr>
          <w:u w:val="single"/>
        </w:rPr>
      </w:pPr>
      <w:r w:rsidRPr="00517B4D">
        <w:rPr>
          <w:position w:val="-12"/>
        </w:rPr>
        <w:object w:dxaOrig="460" w:dyaOrig="380">
          <v:shape id="_x0000_i1029" type="#_x0000_t75" style="width:23.25pt;height:18.75pt" o:ole="">
            <v:imagedata r:id="rId18" o:title=""/>
          </v:shape>
          <o:OLEObject Type="Embed" ProgID="Equation.3" ShapeID="_x0000_i1029" DrawAspect="Content" ObjectID="_1579660259" r:id="rId19"/>
        </w:object>
      </w:r>
      <w:r>
        <w:t xml:space="preserve"> =</w:t>
      </w:r>
      <w:r w:rsidR="00B36FC3">
        <w:rPr>
          <w:u w:val="single"/>
        </w:rPr>
        <w:t>73</w:t>
      </w:r>
      <w:r w:rsidR="00D03649">
        <w:rPr>
          <w:u w:val="single"/>
        </w:rPr>
        <w:t>,</w:t>
      </w:r>
      <w:r w:rsidR="00B36FC3">
        <w:rPr>
          <w:u w:val="single"/>
        </w:rPr>
        <w:t>84</w:t>
      </w:r>
      <w:r>
        <w:rPr>
          <w:u w:val="single"/>
        </w:rPr>
        <w:t xml:space="preserve">GJ/rok  </w:t>
      </w:r>
      <w:r w:rsidR="00D03649">
        <w:rPr>
          <w:u w:val="single"/>
        </w:rPr>
        <w:t xml:space="preserve">t.j.  </w:t>
      </w:r>
      <w:r w:rsidR="00B36FC3">
        <w:rPr>
          <w:u w:val="single"/>
        </w:rPr>
        <w:t>20617</w:t>
      </w:r>
      <w:r w:rsidR="00D03649">
        <w:rPr>
          <w:u w:val="single"/>
        </w:rPr>
        <w:t>kWh/rok</w:t>
      </w:r>
    </w:p>
    <w:p w:rsidR="001176C9" w:rsidRDefault="001176C9" w:rsidP="0079101A">
      <w:pPr>
        <w:pStyle w:val="Zkladntextodsazen2"/>
        <w:tabs>
          <w:tab w:val="left" w:pos="-6521"/>
        </w:tabs>
        <w:spacing w:line="360" w:lineRule="auto"/>
        <w:rPr>
          <w:u w:val="single"/>
        </w:rPr>
      </w:pPr>
    </w:p>
    <w:p w:rsidR="006A5A43" w:rsidRPr="006A5A43" w:rsidRDefault="0079101A" w:rsidP="006A5A43">
      <w:pPr>
        <w:pStyle w:val="Nadpis1"/>
      </w:pPr>
      <w:bookmarkStart w:id="3" w:name="_Toc505918312"/>
      <w:r>
        <w:t>Opis vykurovacieho systému</w:t>
      </w:r>
      <w:bookmarkEnd w:id="3"/>
    </w:p>
    <w:p w:rsidR="0079101A" w:rsidRDefault="0079101A" w:rsidP="0079101A">
      <w:pPr>
        <w:ind w:firstLine="708"/>
      </w:pPr>
      <w:r>
        <w:t>V</w:t>
      </w:r>
      <w:r w:rsidRPr="00017D58">
        <w:t>ykurovací systém</w:t>
      </w:r>
      <w:r>
        <w:t xml:space="preserve"> je dvojrúrkový s núteným obehom vykurovacieho média.</w:t>
      </w:r>
      <w:r w:rsidR="00E369BA">
        <w:t xml:space="preserve"> Navrhované p</w:t>
      </w:r>
      <w:r w:rsidR="00E369BA">
        <w:t>o</w:t>
      </w:r>
      <w:r w:rsidR="00E369BA">
        <w:t>trubie bude napojené na jestvujúci rozvod v budove. Pri montáži upresniť pozíciu prívodu a spiatočky</w:t>
      </w:r>
      <w:r>
        <w:t xml:space="preserve">. Ležatý rozvod k jednotlivým </w:t>
      </w:r>
      <w:r w:rsidR="00325683">
        <w:t xml:space="preserve">vykurovacím telesám </w:t>
      </w:r>
      <w:r>
        <w:t xml:space="preserve"> je v</w:t>
      </w:r>
      <w:r>
        <w:t>e</w:t>
      </w:r>
      <w:r>
        <w:t>dený pod stropom</w:t>
      </w:r>
      <w:r w:rsidR="00E369BA">
        <w:t xml:space="preserve"> resp. nad podlahou nad sebou.</w:t>
      </w:r>
    </w:p>
    <w:p w:rsidR="00D05FEB" w:rsidRDefault="00D05FEB" w:rsidP="00D67655">
      <w:pPr>
        <w:pStyle w:val="Nadpis1"/>
      </w:pPr>
      <w:bookmarkStart w:id="4" w:name="_Toc505918313"/>
      <w:r w:rsidRPr="00D05FEB">
        <w:t>Vykurovacie telesá</w:t>
      </w:r>
      <w:bookmarkEnd w:id="4"/>
    </w:p>
    <w:p w:rsidR="0079101A" w:rsidRDefault="0079101A" w:rsidP="0079101A">
      <w:pPr>
        <w:spacing w:line="360" w:lineRule="auto"/>
      </w:pPr>
      <w:r w:rsidRPr="00AA2C70">
        <w:t>Vykurovacie telesá</w:t>
      </w:r>
      <w:r>
        <w:t xml:space="preserve"> /VT/ sú navrhnuté nové oceľové doskové KORAD stavebnej výšky </w:t>
      </w:r>
      <w:r w:rsidR="00E369BA">
        <w:t>9</w:t>
      </w:r>
      <w:r>
        <w:t xml:space="preserve">00 s bočným pripojením. Osadenie sa prevedie na typové </w:t>
      </w:r>
      <w:r w:rsidR="00E369BA">
        <w:t>podlahové konzoly</w:t>
      </w:r>
      <w:r>
        <w:t>. Ich počet a rozteč osadenia je daný montážnym návodom.</w:t>
      </w:r>
    </w:p>
    <w:p w:rsidR="00E42B4B" w:rsidRDefault="0079101A" w:rsidP="0079101A">
      <w:pPr>
        <w:ind w:firstLine="284"/>
      </w:pPr>
      <w:r>
        <w:lastRenderedPageBreak/>
        <w:t xml:space="preserve"> Na prívode VT s bočným pripojením sú osadené termostatické ventily </w:t>
      </w:r>
      <w:r w:rsidRPr="000A69B1">
        <w:t>IVAR.V</w:t>
      </w:r>
      <w:r>
        <w:t>D</w:t>
      </w:r>
      <w:r w:rsidRPr="000A69B1">
        <w:t xml:space="preserve"> 210</w:t>
      </w:r>
      <w:r>
        <w:t>5</w:t>
      </w:r>
      <w:r w:rsidRPr="000A69B1">
        <w:t xml:space="preserve"> N</w:t>
      </w:r>
      <w:r>
        <w:t xml:space="preserve"> pre pri</w:t>
      </w:r>
      <w:r>
        <w:t>a</w:t>
      </w:r>
      <w:r>
        <w:t>me napojenie a </w:t>
      </w:r>
      <w:r w:rsidRPr="000A69B1">
        <w:t>IVAR.V</w:t>
      </w:r>
      <w:r>
        <w:t>S</w:t>
      </w:r>
      <w:r w:rsidRPr="000A69B1">
        <w:t xml:space="preserve"> 210</w:t>
      </w:r>
      <w:r>
        <w:t>6</w:t>
      </w:r>
      <w:r w:rsidRPr="000A69B1">
        <w:t xml:space="preserve"> N</w:t>
      </w:r>
      <w:r>
        <w:t xml:space="preserve"> pre rohové napojenie. Na ventily sa osadia termostatické hlavice </w:t>
      </w:r>
      <w:r w:rsidRPr="000A69B1">
        <w:t>IVAR.T 5000</w:t>
      </w:r>
      <w:r>
        <w:t xml:space="preserve"> so závitom M 30x1,5. Spiatočka je osadená rohovými / priamymi regulačnými spojkami </w:t>
      </w:r>
      <w:r w:rsidRPr="000A69B1">
        <w:t>IVAR.DS 306</w:t>
      </w:r>
      <w:r>
        <w:t xml:space="preserve"> / IVAR.DS 305, DN 15 na ktorých sa prevedie hydraulické vyregulovanie sústavy.</w:t>
      </w:r>
      <w:r w:rsidR="00E369BA">
        <w:t xml:space="preserve"> </w:t>
      </w:r>
      <w:r>
        <w:t>Pr</w:t>
      </w:r>
      <w:r>
        <w:t>i</w:t>
      </w:r>
      <w:r>
        <w:t>pojenie na rozvod sa prevedie pomocou zvernýchšrúbení IVAR.TR.</w:t>
      </w:r>
    </w:p>
    <w:p w:rsidR="00DA060B" w:rsidRDefault="002C6E43" w:rsidP="00150C6D">
      <w:pPr>
        <w:pStyle w:val="Nadpis1"/>
      </w:pPr>
      <w:bookmarkStart w:id="5" w:name="_Toc505918314"/>
      <w:r>
        <w:t>Rozvodné potrubie</w:t>
      </w:r>
      <w:bookmarkEnd w:id="5"/>
    </w:p>
    <w:p w:rsidR="00DA060B" w:rsidRDefault="008653F6" w:rsidP="00DA060B">
      <w:pPr>
        <w:ind w:firstLine="705"/>
      </w:pPr>
      <w:r w:rsidRPr="00DA060B">
        <w:rPr>
          <w:bCs/>
        </w:rPr>
        <w:t>Hlavný rozvod pre napojenie</w:t>
      </w:r>
      <w:r w:rsidR="00461B65">
        <w:t xml:space="preserve"> vykurovacích telies </w:t>
      </w:r>
      <w:r>
        <w:t xml:space="preserve">je navrhnutý potrubím </w:t>
      </w:r>
      <w:r w:rsidR="0079101A">
        <w:t xml:space="preserve">z uhlíkovej ocele </w:t>
      </w:r>
      <w:r>
        <w:t>/dimenzie uvedené v projektovej dokume</w:t>
      </w:r>
      <w:r w:rsidR="00E369BA">
        <w:t>ntácii/.</w:t>
      </w:r>
      <w:r>
        <w:t xml:space="preserve">  </w:t>
      </w:r>
      <w:r w:rsidR="0079101A">
        <w:t>Odvzdušnenie systému sa prevedie na najvyšších b</w:t>
      </w:r>
      <w:r w:rsidR="0079101A">
        <w:t>o</w:t>
      </w:r>
      <w:r w:rsidR="0079101A">
        <w:t>doch sústavy na vykurovacích telesách a automatických odvzdušňovacích ventiloch.</w:t>
      </w:r>
      <w:r>
        <w:t>.</w:t>
      </w:r>
    </w:p>
    <w:p w:rsidR="00D05FEB" w:rsidRDefault="00D05FEB" w:rsidP="00D67655">
      <w:pPr>
        <w:pStyle w:val="Nadpis1"/>
      </w:pPr>
      <w:bookmarkStart w:id="6" w:name="_Toc505918315"/>
      <w:r>
        <w:t>Zdroj  tepla</w:t>
      </w:r>
      <w:bookmarkEnd w:id="6"/>
    </w:p>
    <w:p w:rsidR="0079101A" w:rsidRDefault="00E369BA" w:rsidP="0079101A">
      <w:r>
        <w:t>Zdroj tepla je jestvujúci a ostáva bez zmeny</w:t>
      </w:r>
      <w:r w:rsidR="0079101A">
        <w:t>.</w:t>
      </w:r>
    </w:p>
    <w:p w:rsidR="0079101A" w:rsidRPr="00307C9F" w:rsidRDefault="0079101A" w:rsidP="0079101A">
      <w:pPr>
        <w:rPr>
          <w:b/>
        </w:rPr>
      </w:pPr>
    </w:p>
    <w:p w:rsidR="00710077" w:rsidRPr="0077359C" w:rsidRDefault="00D05FEB" w:rsidP="00710077">
      <w:pPr>
        <w:pStyle w:val="Nadpis1"/>
      </w:pPr>
      <w:bookmarkStart w:id="7" w:name="_Toc505918316"/>
      <w:r>
        <w:t>Záver</w:t>
      </w:r>
      <w:bookmarkEnd w:id="7"/>
    </w:p>
    <w:p w:rsidR="00DF6137" w:rsidRPr="00AA445E" w:rsidRDefault="00DF6137" w:rsidP="00DF6137">
      <w:pPr>
        <w:ind w:firstLine="708"/>
      </w:pPr>
      <w:r w:rsidRPr="00AA445E">
        <w:t>Zmontované zariadenie kotolne bude pred uvedením do prevádzky potrebné podrobiť skúškam podľa STN EN 14 336 (Montáž a odovzdávanie/preberanie vodných vykurovacích systémov).</w:t>
      </w:r>
    </w:p>
    <w:p w:rsidR="00DF6137" w:rsidRPr="00AA445E" w:rsidRDefault="00DF6137" w:rsidP="00DF6137">
      <w:pPr>
        <w:ind w:firstLine="708"/>
      </w:pPr>
      <w:r w:rsidRPr="00AA445E">
        <w:t>Montáž systému UK a jeho hydraulické zaregulovanie bude  prevedené oprávnenou organiz</w:t>
      </w:r>
      <w:r w:rsidRPr="00AA445E">
        <w:t>á</w:t>
      </w:r>
      <w:r w:rsidRPr="00AA445E">
        <w:t>ciou podľa platnej projektovej dokumentácie. Pri montáži musia byť dodržané všetky predpisy týkaj</w:t>
      </w:r>
      <w:r w:rsidRPr="00AA445E">
        <w:t>ú</w:t>
      </w:r>
      <w:r w:rsidRPr="00AA445E">
        <w:t>ce sa organizácie a bezpečnosti práce na stavbe.</w:t>
      </w:r>
    </w:p>
    <w:p w:rsidR="00DF6137" w:rsidRPr="00AA445E" w:rsidRDefault="00DF6137" w:rsidP="00DF6137">
      <w:pPr>
        <w:ind w:firstLine="708"/>
      </w:pPr>
      <w:r w:rsidRPr="00AA445E">
        <w:t>Pred uvedením zariadenia do prevádzky sa vykonajú nasledovné skúšky:</w:t>
      </w:r>
    </w:p>
    <w:p w:rsidR="00DF6137" w:rsidRPr="00AA445E" w:rsidRDefault="00DF6137" w:rsidP="00FA77F5">
      <w:pPr>
        <w:numPr>
          <w:ilvl w:val="0"/>
          <w:numId w:val="6"/>
        </w:numPr>
      </w:pPr>
      <w:r w:rsidRPr="00AA445E">
        <w:t>tlaková skúška tesnosti</w:t>
      </w:r>
    </w:p>
    <w:p w:rsidR="00DF6137" w:rsidRPr="00AA445E" w:rsidRDefault="00DF6137" w:rsidP="00FA77F5">
      <w:pPr>
        <w:numPr>
          <w:ilvl w:val="0"/>
          <w:numId w:val="6"/>
        </w:numPr>
      </w:pPr>
      <w:r w:rsidRPr="00AA445E">
        <w:t>prevádzková skúška:</w:t>
      </w:r>
      <w:r w:rsidRPr="00AA445E">
        <w:tab/>
      </w:r>
    </w:p>
    <w:p w:rsidR="00DF6137" w:rsidRPr="00AA445E" w:rsidRDefault="00DF6137" w:rsidP="00DF6137">
      <w:pPr>
        <w:ind w:firstLine="708"/>
      </w:pPr>
      <w:r w:rsidRPr="00AA445E">
        <w:t xml:space="preserve">Zariadenia a rozvody potrubí budú dôkladne prepláchnuté, prečistené, potom bude prevedená skúška tesnosti vodou. Tlaková skúška bude prevedená tlakom s hodnotou minimálne 1,3-násobku  maximálneho prevádzkového tlaku </w:t>
      </w:r>
      <w:r w:rsidR="003D46FC">
        <w:t>.</w:t>
      </w:r>
      <w:r w:rsidRPr="00AA445E">
        <w:t>Doba trvania skúšky bude min. 2 hod. Tlaková skúška sa považuje za úspešnú, ak z realizovaného v</w:t>
      </w:r>
      <w:r w:rsidRPr="00AA445E">
        <w:t>y</w:t>
      </w:r>
      <w:r w:rsidRPr="00AA445E">
        <w:t>kurovacieho systému neuniká žiadna voda. O výsledku skúšky bude spísaný protokol a podpísaný st</w:t>
      </w:r>
      <w:r w:rsidRPr="00AA445E">
        <w:t>a</w:t>
      </w:r>
      <w:r w:rsidRPr="00AA445E">
        <w:t>vebným dozorom, resp. zástupcom investora.</w:t>
      </w:r>
    </w:p>
    <w:p w:rsidR="00DF6137" w:rsidRPr="00AA445E" w:rsidRDefault="00DF6137" w:rsidP="00DF6137">
      <w:pPr>
        <w:ind w:firstLine="708"/>
      </w:pPr>
      <w:r w:rsidRPr="00AA445E">
        <w:t>Dilatačná skúška prebehne pri max. výstupnej teplote vykurovacej vody. Potom bude preved</w:t>
      </w:r>
      <w:r w:rsidRPr="00AA445E">
        <w:t>e</w:t>
      </w:r>
      <w:r w:rsidRPr="00AA445E">
        <w:t>ná komplexná vykurovacia skúška s overením všetkých funkcií zariadení realizovanej kotolne.</w:t>
      </w:r>
    </w:p>
    <w:p w:rsidR="00DF6137" w:rsidRPr="00AA445E" w:rsidRDefault="00DF6137" w:rsidP="00DF6137">
      <w:pPr>
        <w:ind w:firstLine="708"/>
      </w:pPr>
      <w:r w:rsidRPr="00AA445E">
        <w:t>Po  úspešnom prevedení všetkých tlakových a  prevádzkových skúšok, hydraulickom zaregul</w:t>
      </w:r>
      <w:r w:rsidRPr="00AA445E">
        <w:t>o</w:t>
      </w:r>
      <w:r w:rsidRPr="00AA445E">
        <w:t>vaní systému UK, vypracovaní reví</w:t>
      </w:r>
      <w:r>
        <w:t xml:space="preserve">zií </w:t>
      </w:r>
      <w:r w:rsidRPr="00AA445E">
        <w:t xml:space="preserve">a zabezpečení dokonalého zaškolenia obsluhy bude </w:t>
      </w:r>
      <w:r>
        <w:t>systém UK uvedený</w:t>
      </w:r>
      <w:r w:rsidRPr="00AA445E">
        <w:t xml:space="preserve"> do prevádzky.Pri prevádzkovaní musia byť dodržiavané bezpečn</w:t>
      </w:r>
      <w:r>
        <w:t xml:space="preserve">ostné predpisy </w:t>
      </w:r>
      <w:r w:rsidRPr="00AA445E">
        <w:t xml:space="preserve">vyplývajúce z prevádzkovania plynových zariadení. </w:t>
      </w:r>
    </w:p>
    <w:sectPr w:rsidR="00DF6137" w:rsidRPr="00AA445E" w:rsidSect="0077359C">
      <w:footerReference w:type="default" r:id="rId20"/>
      <w:pgSz w:w="11907" w:h="16840" w:code="9"/>
      <w:pgMar w:top="1134" w:right="992" w:bottom="1134" w:left="993" w:header="567" w:footer="851" w:gutter="0"/>
      <w:pgNumType w:start="2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D1" w:rsidRDefault="003C59D1">
      <w:r>
        <w:separator/>
      </w:r>
    </w:p>
  </w:endnote>
  <w:endnote w:type="continuationSeparator" w:id="1">
    <w:p w:rsidR="003C59D1" w:rsidRDefault="003C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7E" w:rsidRDefault="00870D7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Technická správa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4E4D2D" w:rsidRPr="004E4D2D">
      <w:fldChar w:fldCharType="begin"/>
    </w:r>
    <w:r>
      <w:instrText xml:space="preserve"> PAGE   \* MERGEFORMAT </w:instrText>
    </w:r>
    <w:r w:rsidR="004E4D2D" w:rsidRPr="004E4D2D">
      <w:fldChar w:fldCharType="separate"/>
    </w:r>
    <w:r w:rsidR="00FF6707" w:rsidRPr="00FF6707">
      <w:rPr>
        <w:rFonts w:asciiTheme="majorHAnsi" w:hAnsiTheme="majorHAnsi"/>
        <w:noProof/>
      </w:rPr>
      <w:t>3</w:t>
    </w:r>
    <w:r w:rsidR="004E4D2D">
      <w:rPr>
        <w:rFonts w:asciiTheme="majorHAnsi" w:hAnsiTheme="majorHAnsi"/>
        <w:noProof/>
      </w:rPr>
      <w:fldChar w:fldCharType="end"/>
    </w:r>
  </w:p>
  <w:p w:rsidR="00870D7E" w:rsidRDefault="00870D7E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D1" w:rsidRDefault="003C59D1">
      <w:r>
        <w:separator/>
      </w:r>
    </w:p>
  </w:footnote>
  <w:footnote w:type="continuationSeparator" w:id="1">
    <w:p w:rsidR="003C59D1" w:rsidRDefault="003C5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54B85E"/>
    <w:lvl w:ilvl="0">
      <w:numFmt w:val="decimal"/>
      <w:pStyle w:val="Pomlka"/>
      <w:lvlText w:val="*"/>
      <w:lvlJc w:val="left"/>
    </w:lvl>
  </w:abstractNum>
  <w:abstractNum w:abstractNumId="1">
    <w:nsid w:val="11A22B4A"/>
    <w:multiLevelType w:val="singleLevel"/>
    <w:tmpl w:val="E2D823FA"/>
    <w:lvl w:ilvl="0">
      <w:start w:val="1"/>
      <w:numFmt w:val="lowerLetter"/>
      <w:pStyle w:val="Abcriadok"/>
      <w:lvlText w:val="%1 ) "/>
      <w:lvlJc w:val="left"/>
      <w:pPr>
        <w:tabs>
          <w:tab w:val="num" w:pos="1004"/>
        </w:tabs>
        <w:ind w:left="0" w:firstLine="284"/>
      </w:pPr>
    </w:lvl>
  </w:abstractNum>
  <w:abstractNum w:abstractNumId="2">
    <w:nsid w:val="1D364F3B"/>
    <w:multiLevelType w:val="singleLevel"/>
    <w:tmpl w:val="B018313C"/>
    <w:lvl w:ilvl="0">
      <w:start w:val="1"/>
      <w:numFmt w:val="decimal"/>
      <w:pStyle w:val="slriadok"/>
      <w:lvlText w:val="%1.) "/>
      <w:lvlJc w:val="left"/>
      <w:pPr>
        <w:tabs>
          <w:tab w:val="num" w:pos="454"/>
        </w:tabs>
        <w:ind w:left="454" w:hanging="454"/>
      </w:pPr>
    </w:lvl>
  </w:abstractNum>
  <w:abstractNum w:abstractNumId="3">
    <w:nsid w:val="2FA80366"/>
    <w:multiLevelType w:val="hybridMultilevel"/>
    <w:tmpl w:val="A4C24332"/>
    <w:lvl w:ilvl="0" w:tplc="E04C5426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6C402AA8"/>
    <w:multiLevelType w:val="multilevel"/>
    <w:tmpl w:val="699877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pStyle w:val="tl3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1"/>
        </w:tabs>
        <w:ind w:left="2291" w:hanging="1440"/>
      </w:pPr>
      <w:rPr>
        <w:rFonts w:hint="default"/>
      </w:rPr>
    </w:lvl>
  </w:abstractNum>
  <w:abstractNum w:abstractNumId="5">
    <w:nsid w:val="72531C36"/>
    <w:multiLevelType w:val="hybridMultilevel"/>
    <w:tmpl w:val="F382582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551A4"/>
    <w:multiLevelType w:val="multilevel"/>
    <w:tmpl w:val="9C9A2746"/>
    <w:lvl w:ilvl="0">
      <w:start w:val="1"/>
      <w:numFmt w:val="decimal"/>
      <w:pStyle w:val="Nadpis1"/>
      <w:isLgl/>
      <w:suff w:val="space"/>
      <w:lvlText w:val="%1."/>
      <w:lvlJc w:val="left"/>
      <w:pPr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B6AE9"/>
    <w:rsid w:val="00003F44"/>
    <w:rsid w:val="00005DF6"/>
    <w:rsid w:val="0003073F"/>
    <w:rsid w:val="00034B11"/>
    <w:rsid w:val="00046CB6"/>
    <w:rsid w:val="000676F8"/>
    <w:rsid w:val="00071D3C"/>
    <w:rsid w:val="000770FE"/>
    <w:rsid w:val="000858B9"/>
    <w:rsid w:val="00087F4C"/>
    <w:rsid w:val="000923E3"/>
    <w:rsid w:val="000A3433"/>
    <w:rsid w:val="000A5A39"/>
    <w:rsid w:val="000B2540"/>
    <w:rsid w:val="000B6AE9"/>
    <w:rsid w:val="000E048F"/>
    <w:rsid w:val="000E2F88"/>
    <w:rsid w:val="000E67E7"/>
    <w:rsid w:val="000F0BD2"/>
    <w:rsid w:val="001153C9"/>
    <w:rsid w:val="001176C9"/>
    <w:rsid w:val="00121FF6"/>
    <w:rsid w:val="00123251"/>
    <w:rsid w:val="00131617"/>
    <w:rsid w:val="00142172"/>
    <w:rsid w:val="00145777"/>
    <w:rsid w:val="00150C6D"/>
    <w:rsid w:val="00152E93"/>
    <w:rsid w:val="00175949"/>
    <w:rsid w:val="00183FF0"/>
    <w:rsid w:val="001867D2"/>
    <w:rsid w:val="001877AC"/>
    <w:rsid w:val="001A5B97"/>
    <w:rsid w:val="001B552F"/>
    <w:rsid w:val="001C79BA"/>
    <w:rsid w:val="001D7761"/>
    <w:rsid w:val="001E275D"/>
    <w:rsid w:val="001E43A7"/>
    <w:rsid w:val="00200E9A"/>
    <w:rsid w:val="002015B4"/>
    <w:rsid w:val="00203246"/>
    <w:rsid w:val="002238AA"/>
    <w:rsid w:val="00240525"/>
    <w:rsid w:val="002513FD"/>
    <w:rsid w:val="00252220"/>
    <w:rsid w:val="002546DC"/>
    <w:rsid w:val="00260833"/>
    <w:rsid w:val="002748A9"/>
    <w:rsid w:val="00285D31"/>
    <w:rsid w:val="00296B4B"/>
    <w:rsid w:val="00296F51"/>
    <w:rsid w:val="002B75A4"/>
    <w:rsid w:val="002C6AE6"/>
    <w:rsid w:val="002C6E43"/>
    <w:rsid w:val="002F266D"/>
    <w:rsid w:val="003032A8"/>
    <w:rsid w:val="003044F6"/>
    <w:rsid w:val="003123BE"/>
    <w:rsid w:val="003125B6"/>
    <w:rsid w:val="00314C4E"/>
    <w:rsid w:val="00317612"/>
    <w:rsid w:val="00325683"/>
    <w:rsid w:val="00327978"/>
    <w:rsid w:val="003410A0"/>
    <w:rsid w:val="00342EB0"/>
    <w:rsid w:val="00351276"/>
    <w:rsid w:val="003541C2"/>
    <w:rsid w:val="0035473B"/>
    <w:rsid w:val="00370608"/>
    <w:rsid w:val="003719DD"/>
    <w:rsid w:val="003830AA"/>
    <w:rsid w:val="003A5C3B"/>
    <w:rsid w:val="003B3951"/>
    <w:rsid w:val="003B7710"/>
    <w:rsid w:val="003C446E"/>
    <w:rsid w:val="003C59D1"/>
    <w:rsid w:val="003C5C9E"/>
    <w:rsid w:val="003C6F17"/>
    <w:rsid w:val="003C7025"/>
    <w:rsid w:val="003D2263"/>
    <w:rsid w:val="003D27C2"/>
    <w:rsid w:val="003D2B42"/>
    <w:rsid w:val="003D46FC"/>
    <w:rsid w:val="003D4A08"/>
    <w:rsid w:val="003D642B"/>
    <w:rsid w:val="003E737D"/>
    <w:rsid w:val="003F3E27"/>
    <w:rsid w:val="00407399"/>
    <w:rsid w:val="0042604E"/>
    <w:rsid w:val="00431795"/>
    <w:rsid w:val="00434FDF"/>
    <w:rsid w:val="00440300"/>
    <w:rsid w:val="00452FD5"/>
    <w:rsid w:val="004541E8"/>
    <w:rsid w:val="0045777F"/>
    <w:rsid w:val="00461B65"/>
    <w:rsid w:val="00461D68"/>
    <w:rsid w:val="0047439B"/>
    <w:rsid w:val="00485A8C"/>
    <w:rsid w:val="00487E6F"/>
    <w:rsid w:val="00492C46"/>
    <w:rsid w:val="004A1D1E"/>
    <w:rsid w:val="004D32C9"/>
    <w:rsid w:val="004D7A04"/>
    <w:rsid w:val="004E069E"/>
    <w:rsid w:val="004E4D2D"/>
    <w:rsid w:val="004F0D2B"/>
    <w:rsid w:val="005016E5"/>
    <w:rsid w:val="005101B4"/>
    <w:rsid w:val="005114FF"/>
    <w:rsid w:val="005153F4"/>
    <w:rsid w:val="005168D1"/>
    <w:rsid w:val="00516BC2"/>
    <w:rsid w:val="00517B4D"/>
    <w:rsid w:val="00527780"/>
    <w:rsid w:val="005378EF"/>
    <w:rsid w:val="00537B95"/>
    <w:rsid w:val="00544070"/>
    <w:rsid w:val="005A2BD9"/>
    <w:rsid w:val="005A3B3E"/>
    <w:rsid w:val="005A6911"/>
    <w:rsid w:val="005C496A"/>
    <w:rsid w:val="005C49B6"/>
    <w:rsid w:val="005C714F"/>
    <w:rsid w:val="005D2A65"/>
    <w:rsid w:val="005D6A0E"/>
    <w:rsid w:val="005D79A0"/>
    <w:rsid w:val="005E7A87"/>
    <w:rsid w:val="00600D0E"/>
    <w:rsid w:val="0061273F"/>
    <w:rsid w:val="00616540"/>
    <w:rsid w:val="006444F6"/>
    <w:rsid w:val="006474AE"/>
    <w:rsid w:val="006567C0"/>
    <w:rsid w:val="00656B2D"/>
    <w:rsid w:val="006572D6"/>
    <w:rsid w:val="006628D8"/>
    <w:rsid w:val="006700E0"/>
    <w:rsid w:val="00671551"/>
    <w:rsid w:val="00673367"/>
    <w:rsid w:val="00673B54"/>
    <w:rsid w:val="0069242B"/>
    <w:rsid w:val="006A5A43"/>
    <w:rsid w:val="006B40A8"/>
    <w:rsid w:val="006B6E51"/>
    <w:rsid w:val="006C0AF3"/>
    <w:rsid w:val="006C1F5C"/>
    <w:rsid w:val="006D4A4D"/>
    <w:rsid w:val="006D548F"/>
    <w:rsid w:val="006E6E53"/>
    <w:rsid w:val="00701733"/>
    <w:rsid w:val="00710077"/>
    <w:rsid w:val="0073701A"/>
    <w:rsid w:val="007529D2"/>
    <w:rsid w:val="007578EF"/>
    <w:rsid w:val="00766612"/>
    <w:rsid w:val="0077359C"/>
    <w:rsid w:val="0078305E"/>
    <w:rsid w:val="00783D92"/>
    <w:rsid w:val="007847E2"/>
    <w:rsid w:val="0079101A"/>
    <w:rsid w:val="00793D00"/>
    <w:rsid w:val="007A165E"/>
    <w:rsid w:val="007A6031"/>
    <w:rsid w:val="007B14FE"/>
    <w:rsid w:val="007B5586"/>
    <w:rsid w:val="007C088F"/>
    <w:rsid w:val="007D7005"/>
    <w:rsid w:val="007E2621"/>
    <w:rsid w:val="007F4413"/>
    <w:rsid w:val="00804D3B"/>
    <w:rsid w:val="0081304F"/>
    <w:rsid w:val="008136FD"/>
    <w:rsid w:val="00814D98"/>
    <w:rsid w:val="008165F2"/>
    <w:rsid w:val="00820CB7"/>
    <w:rsid w:val="008278D3"/>
    <w:rsid w:val="00836FD3"/>
    <w:rsid w:val="00852A43"/>
    <w:rsid w:val="0086012D"/>
    <w:rsid w:val="00863654"/>
    <w:rsid w:val="008653F6"/>
    <w:rsid w:val="008670F1"/>
    <w:rsid w:val="00870D7E"/>
    <w:rsid w:val="00871B32"/>
    <w:rsid w:val="00871E22"/>
    <w:rsid w:val="00887D01"/>
    <w:rsid w:val="008900B5"/>
    <w:rsid w:val="008A2756"/>
    <w:rsid w:val="008A32BC"/>
    <w:rsid w:val="008A59FA"/>
    <w:rsid w:val="008A662C"/>
    <w:rsid w:val="008B1586"/>
    <w:rsid w:val="008B794F"/>
    <w:rsid w:val="008C3425"/>
    <w:rsid w:val="008C77BA"/>
    <w:rsid w:val="008C7A85"/>
    <w:rsid w:val="008D51F7"/>
    <w:rsid w:val="008E207F"/>
    <w:rsid w:val="008E3767"/>
    <w:rsid w:val="00905ECD"/>
    <w:rsid w:val="00915940"/>
    <w:rsid w:val="00920038"/>
    <w:rsid w:val="00920793"/>
    <w:rsid w:val="00923319"/>
    <w:rsid w:val="00925B32"/>
    <w:rsid w:val="00927805"/>
    <w:rsid w:val="00936BC4"/>
    <w:rsid w:val="009434A6"/>
    <w:rsid w:val="0095415C"/>
    <w:rsid w:val="00965D1E"/>
    <w:rsid w:val="0097244B"/>
    <w:rsid w:val="00977F17"/>
    <w:rsid w:val="009857A0"/>
    <w:rsid w:val="00986763"/>
    <w:rsid w:val="00993943"/>
    <w:rsid w:val="009A494B"/>
    <w:rsid w:val="009B5BA3"/>
    <w:rsid w:val="009E63F1"/>
    <w:rsid w:val="009F0836"/>
    <w:rsid w:val="00A040E5"/>
    <w:rsid w:val="00A04620"/>
    <w:rsid w:val="00A52EA4"/>
    <w:rsid w:val="00A63EE8"/>
    <w:rsid w:val="00A641DA"/>
    <w:rsid w:val="00A64A0D"/>
    <w:rsid w:val="00A660C6"/>
    <w:rsid w:val="00A77323"/>
    <w:rsid w:val="00A803A6"/>
    <w:rsid w:val="00A84355"/>
    <w:rsid w:val="00A87933"/>
    <w:rsid w:val="00A9110C"/>
    <w:rsid w:val="00A944A2"/>
    <w:rsid w:val="00AD11A9"/>
    <w:rsid w:val="00AD738F"/>
    <w:rsid w:val="00AD7D80"/>
    <w:rsid w:val="00AE4B08"/>
    <w:rsid w:val="00B14031"/>
    <w:rsid w:val="00B142CD"/>
    <w:rsid w:val="00B2281A"/>
    <w:rsid w:val="00B36FC3"/>
    <w:rsid w:val="00B3750A"/>
    <w:rsid w:val="00B41091"/>
    <w:rsid w:val="00B41A32"/>
    <w:rsid w:val="00B44613"/>
    <w:rsid w:val="00B46339"/>
    <w:rsid w:val="00B47764"/>
    <w:rsid w:val="00B5328E"/>
    <w:rsid w:val="00B56F4A"/>
    <w:rsid w:val="00B6409E"/>
    <w:rsid w:val="00B6796B"/>
    <w:rsid w:val="00B67A3B"/>
    <w:rsid w:val="00B70379"/>
    <w:rsid w:val="00B71A1D"/>
    <w:rsid w:val="00B74ECD"/>
    <w:rsid w:val="00B75599"/>
    <w:rsid w:val="00B8264A"/>
    <w:rsid w:val="00BA4211"/>
    <w:rsid w:val="00BA5CC5"/>
    <w:rsid w:val="00BA7349"/>
    <w:rsid w:val="00BB4B16"/>
    <w:rsid w:val="00BB4C54"/>
    <w:rsid w:val="00BC373E"/>
    <w:rsid w:val="00BC4F51"/>
    <w:rsid w:val="00BD09AD"/>
    <w:rsid w:val="00BD1621"/>
    <w:rsid w:val="00BE15F0"/>
    <w:rsid w:val="00BE5712"/>
    <w:rsid w:val="00BF159C"/>
    <w:rsid w:val="00C02CDC"/>
    <w:rsid w:val="00C37760"/>
    <w:rsid w:val="00C4369C"/>
    <w:rsid w:val="00C57347"/>
    <w:rsid w:val="00C57351"/>
    <w:rsid w:val="00C67161"/>
    <w:rsid w:val="00C702E5"/>
    <w:rsid w:val="00C72876"/>
    <w:rsid w:val="00C74D6F"/>
    <w:rsid w:val="00C87D05"/>
    <w:rsid w:val="00C97463"/>
    <w:rsid w:val="00CB65A1"/>
    <w:rsid w:val="00CB7891"/>
    <w:rsid w:val="00CD3450"/>
    <w:rsid w:val="00CD6076"/>
    <w:rsid w:val="00CE3B3E"/>
    <w:rsid w:val="00CE47D5"/>
    <w:rsid w:val="00CF213C"/>
    <w:rsid w:val="00CF3425"/>
    <w:rsid w:val="00CF79C9"/>
    <w:rsid w:val="00D01EF4"/>
    <w:rsid w:val="00D03649"/>
    <w:rsid w:val="00D05FEB"/>
    <w:rsid w:val="00D1379D"/>
    <w:rsid w:val="00D1761A"/>
    <w:rsid w:val="00D25A73"/>
    <w:rsid w:val="00D3051A"/>
    <w:rsid w:val="00D34DD0"/>
    <w:rsid w:val="00D369E7"/>
    <w:rsid w:val="00D4070E"/>
    <w:rsid w:val="00D47A40"/>
    <w:rsid w:val="00D56A3D"/>
    <w:rsid w:val="00D67655"/>
    <w:rsid w:val="00D81F40"/>
    <w:rsid w:val="00D97B8C"/>
    <w:rsid w:val="00DA060B"/>
    <w:rsid w:val="00DC006A"/>
    <w:rsid w:val="00DC5BEF"/>
    <w:rsid w:val="00DD0230"/>
    <w:rsid w:val="00DD0ECA"/>
    <w:rsid w:val="00DD2EDE"/>
    <w:rsid w:val="00DD3B73"/>
    <w:rsid w:val="00DE39EB"/>
    <w:rsid w:val="00DF48A7"/>
    <w:rsid w:val="00DF6137"/>
    <w:rsid w:val="00E00340"/>
    <w:rsid w:val="00E149AE"/>
    <w:rsid w:val="00E16323"/>
    <w:rsid w:val="00E24C26"/>
    <w:rsid w:val="00E33203"/>
    <w:rsid w:val="00E3422A"/>
    <w:rsid w:val="00E369BA"/>
    <w:rsid w:val="00E42B4B"/>
    <w:rsid w:val="00E434E3"/>
    <w:rsid w:val="00E50D2B"/>
    <w:rsid w:val="00E514F9"/>
    <w:rsid w:val="00E74018"/>
    <w:rsid w:val="00E900EE"/>
    <w:rsid w:val="00E912BE"/>
    <w:rsid w:val="00E96621"/>
    <w:rsid w:val="00EA61C2"/>
    <w:rsid w:val="00EB3F44"/>
    <w:rsid w:val="00EB61D1"/>
    <w:rsid w:val="00EC30DF"/>
    <w:rsid w:val="00ED4866"/>
    <w:rsid w:val="00ED753B"/>
    <w:rsid w:val="00EE6A03"/>
    <w:rsid w:val="00EE6E83"/>
    <w:rsid w:val="00EF19CC"/>
    <w:rsid w:val="00F065A2"/>
    <w:rsid w:val="00F07960"/>
    <w:rsid w:val="00F26ED1"/>
    <w:rsid w:val="00F3364A"/>
    <w:rsid w:val="00F33846"/>
    <w:rsid w:val="00F35678"/>
    <w:rsid w:val="00F43395"/>
    <w:rsid w:val="00F43AA8"/>
    <w:rsid w:val="00F44B20"/>
    <w:rsid w:val="00F62F7C"/>
    <w:rsid w:val="00F67CFD"/>
    <w:rsid w:val="00F77546"/>
    <w:rsid w:val="00F82A95"/>
    <w:rsid w:val="00F87933"/>
    <w:rsid w:val="00F907A2"/>
    <w:rsid w:val="00F90970"/>
    <w:rsid w:val="00F958D2"/>
    <w:rsid w:val="00FA77F5"/>
    <w:rsid w:val="00FA7F3C"/>
    <w:rsid w:val="00FB2AE3"/>
    <w:rsid w:val="00FB5960"/>
    <w:rsid w:val="00FD116F"/>
    <w:rsid w:val="00FD7B25"/>
    <w:rsid w:val="00FF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7B4D"/>
    <w:pPr>
      <w:spacing w:line="312" w:lineRule="auto"/>
      <w:jc w:val="both"/>
    </w:pPr>
    <w:rPr>
      <w:sz w:val="24"/>
      <w:lang w:eastAsia="cs-CZ"/>
    </w:rPr>
  </w:style>
  <w:style w:type="paragraph" w:styleId="Nadpis1">
    <w:name w:val="heading 1"/>
    <w:next w:val="Zkladntext"/>
    <w:link w:val="Nadpis1Char"/>
    <w:autoRedefine/>
    <w:qFormat/>
    <w:rsid w:val="00D67655"/>
    <w:pPr>
      <w:keepNext/>
      <w:keepLines/>
      <w:numPr>
        <w:numId w:val="2"/>
      </w:numPr>
      <w:tabs>
        <w:tab w:val="left" w:pos="567"/>
      </w:tabs>
      <w:suppressAutoHyphens/>
      <w:spacing w:before="240" w:after="120"/>
      <w:ind w:right="284"/>
      <w:outlineLvl w:val="0"/>
    </w:pPr>
    <w:rPr>
      <w:b/>
      <w:bCs/>
      <w:smallCaps/>
      <w:noProof/>
      <w:sz w:val="32"/>
      <w:lang w:val="cs-CZ" w:eastAsia="cs-CZ"/>
    </w:rPr>
  </w:style>
  <w:style w:type="paragraph" w:styleId="Nadpis2">
    <w:name w:val="heading 2"/>
    <w:basedOn w:val="Nadpis1"/>
    <w:next w:val="Zkladntext"/>
    <w:qFormat/>
    <w:rsid w:val="00517B4D"/>
    <w:pPr>
      <w:numPr>
        <w:ilvl w:val="1"/>
      </w:numPr>
      <w:tabs>
        <w:tab w:val="clear" w:pos="567"/>
      </w:tabs>
      <w:spacing w:before="160"/>
      <w:outlineLvl w:val="1"/>
    </w:pPr>
    <w:rPr>
      <w:caps/>
      <w:smallCaps w:val="0"/>
      <w:noProof w:val="0"/>
      <w:snapToGrid w:val="0"/>
      <w:spacing w:val="20"/>
      <w:sz w:val="28"/>
      <w:lang w:eastAsia="sk-SK"/>
    </w:rPr>
  </w:style>
  <w:style w:type="paragraph" w:styleId="Nadpis3">
    <w:name w:val="heading 3"/>
    <w:next w:val="Zkladntext"/>
    <w:autoRedefine/>
    <w:qFormat/>
    <w:rsid w:val="00517B4D"/>
    <w:pPr>
      <w:keepNext/>
      <w:keepLines/>
      <w:tabs>
        <w:tab w:val="left" w:pos="1134"/>
      </w:tabs>
      <w:suppressAutoHyphens/>
      <w:spacing w:before="120" w:after="120"/>
      <w:ind w:right="567"/>
      <w:outlineLvl w:val="2"/>
    </w:pPr>
    <w:rPr>
      <w:b/>
      <w:spacing w:val="20"/>
      <w:sz w:val="28"/>
      <w:lang w:eastAsia="cs-CZ"/>
    </w:rPr>
  </w:style>
  <w:style w:type="paragraph" w:styleId="Nadpis4">
    <w:name w:val="heading 4"/>
    <w:basedOn w:val="Normln"/>
    <w:next w:val="Normln"/>
    <w:qFormat/>
    <w:rsid w:val="00517B4D"/>
    <w:pPr>
      <w:keepNext/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517B4D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517B4D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517B4D"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517B4D"/>
    <w:p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517B4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utoRedefine/>
    <w:rsid w:val="00ED4866"/>
    <w:pPr>
      <w:tabs>
        <w:tab w:val="left" w:pos="-3119"/>
        <w:tab w:val="left" w:pos="1134"/>
        <w:tab w:val="left" w:pos="3544"/>
        <w:tab w:val="left" w:pos="4395"/>
        <w:tab w:val="left" w:pos="5245"/>
        <w:tab w:val="left" w:pos="8080"/>
      </w:tabs>
      <w:ind w:right="284"/>
      <w:jc w:val="both"/>
    </w:pPr>
    <w:rPr>
      <w:noProof/>
      <w:spacing w:val="10"/>
      <w:kern w:val="24"/>
      <w:sz w:val="24"/>
      <w:lang w:eastAsia="cs-CZ"/>
    </w:rPr>
  </w:style>
  <w:style w:type="paragraph" w:styleId="Zhlav">
    <w:name w:val="header"/>
    <w:basedOn w:val="Normln"/>
    <w:rsid w:val="00517B4D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adpis1"/>
    <w:rsid w:val="00517B4D"/>
    <w:pPr>
      <w:jc w:val="center"/>
      <w:outlineLvl w:val="9"/>
    </w:pPr>
    <w:rPr>
      <w:caps/>
    </w:rPr>
  </w:style>
  <w:style w:type="paragraph" w:customStyle="1" w:styleId="Pomlka">
    <w:name w:val="Pomlčka"/>
    <w:basedOn w:val="Zkladntext"/>
    <w:rsid w:val="00517B4D"/>
    <w:pPr>
      <w:numPr>
        <w:numId w:val="5"/>
      </w:numPr>
    </w:pPr>
  </w:style>
  <w:style w:type="paragraph" w:customStyle="1" w:styleId="Odrka">
    <w:name w:val="Odrážka"/>
    <w:basedOn w:val="Zkladntext"/>
    <w:rsid w:val="00517B4D"/>
    <w:pPr>
      <w:ind w:left="568" w:hanging="284"/>
    </w:pPr>
  </w:style>
  <w:style w:type="paragraph" w:customStyle="1" w:styleId="slriadok">
    <w:name w:val="Čísl. riadok"/>
    <w:basedOn w:val="Zkladntext"/>
    <w:rsid w:val="00517B4D"/>
    <w:pPr>
      <w:numPr>
        <w:numId w:val="4"/>
      </w:numPr>
    </w:pPr>
  </w:style>
  <w:style w:type="paragraph" w:styleId="Zpat">
    <w:name w:val="footer"/>
    <w:basedOn w:val="Normln"/>
    <w:link w:val="ZpatChar"/>
    <w:uiPriority w:val="99"/>
    <w:rsid w:val="00517B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17B4D"/>
  </w:style>
  <w:style w:type="paragraph" w:customStyle="1" w:styleId="Texttabulky">
    <w:name w:val="Text tabulky"/>
    <w:autoRedefine/>
    <w:rsid w:val="00517B4D"/>
    <w:pPr>
      <w:spacing w:before="40" w:line="360" w:lineRule="auto"/>
      <w:jc w:val="center"/>
    </w:pPr>
    <w:rPr>
      <w:noProof/>
      <w:lang w:val="cs-CZ" w:eastAsia="cs-CZ"/>
    </w:rPr>
  </w:style>
  <w:style w:type="paragraph" w:styleId="Nzev">
    <w:name w:val="Title"/>
    <w:basedOn w:val="Normln"/>
    <w:qFormat/>
    <w:rsid w:val="00517B4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Abcriadok">
    <w:name w:val="Abcriadok"/>
    <w:autoRedefine/>
    <w:rsid w:val="00517B4D"/>
    <w:pPr>
      <w:numPr>
        <w:numId w:val="3"/>
      </w:numPr>
      <w:outlineLvl w:val="8"/>
    </w:pPr>
    <w:rPr>
      <w:noProof/>
      <w:sz w:val="24"/>
      <w:lang w:val="cs-CZ" w:eastAsia="cs-CZ"/>
    </w:rPr>
  </w:style>
  <w:style w:type="paragraph" w:customStyle="1" w:styleId="tl1">
    <w:name w:val="Štýl1"/>
    <w:basedOn w:val="Nadpis1"/>
    <w:rsid w:val="00517B4D"/>
    <w:pPr>
      <w:ind w:left="142" w:firstLine="0"/>
    </w:pPr>
    <w:rPr>
      <w:b w:val="0"/>
    </w:rPr>
  </w:style>
  <w:style w:type="paragraph" w:customStyle="1" w:styleId="tl2">
    <w:name w:val="Štýl2"/>
    <w:basedOn w:val="Nadpis2"/>
    <w:rsid w:val="00517B4D"/>
    <w:pPr>
      <w:numPr>
        <w:ilvl w:val="0"/>
        <w:numId w:val="0"/>
      </w:numPr>
      <w:ind w:left="567"/>
    </w:pPr>
    <w:rPr>
      <w:i/>
      <w:sz w:val="32"/>
    </w:rPr>
  </w:style>
  <w:style w:type="paragraph" w:styleId="Podtitul">
    <w:name w:val="Subtitle"/>
    <w:basedOn w:val="Normln"/>
    <w:qFormat/>
    <w:rsid w:val="00517B4D"/>
    <w:pPr>
      <w:spacing w:after="60"/>
      <w:jc w:val="center"/>
      <w:outlineLvl w:val="1"/>
    </w:pPr>
    <w:rPr>
      <w:rFonts w:ascii="Arial" w:hAnsi="Arial"/>
    </w:rPr>
  </w:style>
  <w:style w:type="paragraph" w:styleId="Obsah1">
    <w:name w:val="toc 1"/>
    <w:basedOn w:val="Normln"/>
    <w:next w:val="Normln"/>
    <w:autoRedefine/>
    <w:uiPriority w:val="39"/>
    <w:rsid w:val="00517B4D"/>
    <w:pPr>
      <w:spacing w:before="120" w:after="120"/>
      <w:jc w:val="left"/>
    </w:pPr>
    <w:rPr>
      <w:b/>
      <w:caps/>
      <w:sz w:val="20"/>
    </w:rPr>
  </w:style>
  <w:style w:type="paragraph" w:customStyle="1" w:styleId="tl3">
    <w:name w:val="Štýl3"/>
    <w:basedOn w:val="Nadpis3"/>
    <w:rsid w:val="00517B4D"/>
    <w:pPr>
      <w:numPr>
        <w:ilvl w:val="2"/>
        <w:numId w:val="1"/>
      </w:numPr>
    </w:pPr>
  </w:style>
  <w:style w:type="paragraph" w:styleId="Obsah2">
    <w:name w:val="toc 2"/>
    <w:basedOn w:val="Normln"/>
    <w:next w:val="Normln"/>
    <w:autoRedefine/>
    <w:semiHidden/>
    <w:rsid w:val="00517B4D"/>
    <w:pPr>
      <w:ind w:left="240"/>
      <w:jc w:val="left"/>
    </w:pPr>
    <w:rPr>
      <w:smallCaps/>
      <w:sz w:val="20"/>
    </w:rPr>
  </w:style>
  <w:style w:type="paragraph" w:styleId="Obsah3">
    <w:name w:val="toc 3"/>
    <w:basedOn w:val="Normln"/>
    <w:next w:val="Normln"/>
    <w:autoRedefine/>
    <w:semiHidden/>
    <w:rsid w:val="00517B4D"/>
    <w:pPr>
      <w:ind w:left="480"/>
      <w:jc w:val="left"/>
    </w:pPr>
    <w:rPr>
      <w:i/>
      <w:sz w:val="20"/>
    </w:rPr>
  </w:style>
  <w:style w:type="paragraph" w:styleId="Obsah4">
    <w:name w:val="toc 4"/>
    <w:basedOn w:val="Normln"/>
    <w:next w:val="Normln"/>
    <w:autoRedefine/>
    <w:semiHidden/>
    <w:rsid w:val="00517B4D"/>
    <w:pPr>
      <w:ind w:left="720"/>
      <w:jc w:val="left"/>
    </w:pPr>
    <w:rPr>
      <w:sz w:val="18"/>
    </w:rPr>
  </w:style>
  <w:style w:type="paragraph" w:styleId="Obsah5">
    <w:name w:val="toc 5"/>
    <w:basedOn w:val="Normln"/>
    <w:next w:val="Normln"/>
    <w:autoRedefine/>
    <w:semiHidden/>
    <w:rsid w:val="00517B4D"/>
    <w:pPr>
      <w:ind w:left="960"/>
      <w:jc w:val="left"/>
    </w:pPr>
    <w:rPr>
      <w:sz w:val="18"/>
    </w:rPr>
  </w:style>
  <w:style w:type="paragraph" w:styleId="Obsah6">
    <w:name w:val="toc 6"/>
    <w:basedOn w:val="Normln"/>
    <w:next w:val="Normln"/>
    <w:autoRedefine/>
    <w:semiHidden/>
    <w:rsid w:val="00517B4D"/>
    <w:pPr>
      <w:ind w:left="1200"/>
      <w:jc w:val="left"/>
    </w:pPr>
    <w:rPr>
      <w:sz w:val="18"/>
    </w:rPr>
  </w:style>
  <w:style w:type="paragraph" w:styleId="Obsah7">
    <w:name w:val="toc 7"/>
    <w:basedOn w:val="Normln"/>
    <w:next w:val="Normln"/>
    <w:autoRedefine/>
    <w:semiHidden/>
    <w:rsid w:val="00517B4D"/>
    <w:pPr>
      <w:ind w:left="1440"/>
      <w:jc w:val="left"/>
    </w:pPr>
    <w:rPr>
      <w:sz w:val="18"/>
    </w:rPr>
  </w:style>
  <w:style w:type="paragraph" w:styleId="Obsah8">
    <w:name w:val="toc 8"/>
    <w:basedOn w:val="Normln"/>
    <w:next w:val="Normln"/>
    <w:autoRedefine/>
    <w:semiHidden/>
    <w:rsid w:val="00517B4D"/>
    <w:pPr>
      <w:ind w:left="1680"/>
      <w:jc w:val="left"/>
    </w:pPr>
    <w:rPr>
      <w:sz w:val="18"/>
    </w:rPr>
  </w:style>
  <w:style w:type="paragraph" w:styleId="Obsah9">
    <w:name w:val="toc 9"/>
    <w:basedOn w:val="Normln"/>
    <w:next w:val="Normln"/>
    <w:autoRedefine/>
    <w:semiHidden/>
    <w:rsid w:val="00517B4D"/>
    <w:pPr>
      <w:ind w:left="1920"/>
      <w:jc w:val="left"/>
    </w:pPr>
    <w:rPr>
      <w:sz w:val="18"/>
    </w:rPr>
  </w:style>
  <w:style w:type="paragraph" w:customStyle="1" w:styleId="Styl1">
    <w:name w:val="Styl1"/>
    <w:basedOn w:val="Normln"/>
    <w:rsid w:val="00517B4D"/>
    <w:pPr>
      <w:tabs>
        <w:tab w:val="left" w:pos="709"/>
      </w:tabs>
      <w:spacing w:line="240" w:lineRule="auto"/>
      <w:jc w:val="left"/>
    </w:pPr>
    <w:rPr>
      <w:rFonts w:ascii="Arial Narrow" w:hAnsi="Arial Narrow"/>
      <w:snapToGrid w:val="0"/>
    </w:rPr>
  </w:style>
  <w:style w:type="paragraph" w:styleId="Zkladntextodsazen">
    <w:name w:val="Body Text Indent"/>
    <w:basedOn w:val="Normln"/>
    <w:rsid w:val="00517B4D"/>
    <w:pPr>
      <w:spacing w:line="240" w:lineRule="auto"/>
      <w:ind w:left="1418" w:hanging="1418"/>
      <w:jc w:val="left"/>
    </w:pPr>
  </w:style>
  <w:style w:type="paragraph" w:styleId="Zkladntextodsazen2">
    <w:name w:val="Body Text Indent 2"/>
    <w:basedOn w:val="Normln"/>
    <w:rsid w:val="00517B4D"/>
    <w:pPr>
      <w:spacing w:line="240" w:lineRule="auto"/>
      <w:ind w:firstLine="851"/>
    </w:pPr>
  </w:style>
  <w:style w:type="paragraph" w:styleId="Zkladntextodsazen3">
    <w:name w:val="Body Text Indent 3"/>
    <w:basedOn w:val="Normln"/>
    <w:rsid w:val="00517B4D"/>
    <w:pPr>
      <w:ind w:firstLine="851"/>
    </w:pPr>
    <w:rPr>
      <w:b/>
      <w:sz w:val="28"/>
    </w:rPr>
  </w:style>
  <w:style w:type="paragraph" w:customStyle="1" w:styleId="TECHNICKSPRVA1">
    <w:name w:val="TECHNICKÁ SPRÁVA1"/>
    <w:basedOn w:val="Zkladntext"/>
    <w:next w:val="Zkladntext"/>
    <w:autoRedefine/>
    <w:rsid w:val="00517B4D"/>
    <w:rPr>
      <w:spacing w:val="0"/>
    </w:rPr>
  </w:style>
  <w:style w:type="character" w:styleId="Hypertextovodkaz">
    <w:name w:val="Hyperlink"/>
    <w:basedOn w:val="Standardnpsmoodstavce"/>
    <w:uiPriority w:val="99"/>
    <w:rsid w:val="00517B4D"/>
    <w:rPr>
      <w:color w:val="0000FF"/>
      <w:u w:val="single"/>
    </w:rPr>
  </w:style>
  <w:style w:type="paragraph" w:styleId="Rozvrendokumentu">
    <w:name w:val="Document Map"/>
    <w:basedOn w:val="Normln"/>
    <w:semiHidden/>
    <w:rsid w:val="00252220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1">
    <w:name w:val="text1"/>
    <w:basedOn w:val="Normln"/>
    <w:rsid w:val="00F82A95"/>
    <w:pPr>
      <w:shd w:val="clear" w:color="auto" w:fill="FFFFFF"/>
      <w:spacing w:line="240" w:lineRule="auto"/>
      <w:ind w:firstLine="284"/>
    </w:pPr>
    <w:rPr>
      <w:rFonts w:ascii="Tahoma" w:hAnsi="Tahoma"/>
      <w:sz w:val="18"/>
    </w:rPr>
  </w:style>
  <w:style w:type="character" w:customStyle="1" w:styleId="Nadpis1Char">
    <w:name w:val="Nadpis 1 Char"/>
    <w:basedOn w:val="Standardnpsmoodstavce"/>
    <w:link w:val="Nadpis1"/>
    <w:rsid w:val="00B8264A"/>
    <w:rPr>
      <w:b/>
      <w:bCs/>
      <w:smallCaps/>
      <w:noProof/>
      <w:sz w:val="3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0793"/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920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079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Sablony\&#352;abl&#243;ny%20SCH\V&#253;robn&#233;%20zariadenie%20-%20Technick&#225;%20spr&#225;v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Výrobné zariadenie - Technická správa</Template>
  <TotalTime>605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Links>
    <vt:vector size="84" baseType="variant"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_Toc371514153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_Toc371514152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_Toc371514151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_Toc371514150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_Toc371514149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_Toc371514148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_Toc371514147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_Toc371514146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_Toc371514145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_Toc371514144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_Toc371514143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_Toc371514142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_Toc371514141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_Toc371514140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Výrobné zariadenie - technická správa</dc:subject>
  <dc:creator>PC3 - SCH</dc:creator>
  <cp:keywords>dn rozvodov požiadavky hranice pri</cp:keywords>
  <dc:description>Skreslenie skutkového stavu jestvujúcich potrubných rozvodov._x000d_Požiadavky MaR – Matias._x000d_HRANICE PREVÁDZKOVÉHO SÚBORU_x000d__x000d_PS 01 vonkajšie potrubné rozvody chladiacej vody sú vedené od hranice jestvujúcich rozvodov DN 350 pri objekte 606 po hranicu objektu 508 PS 05._x000d_PRIPOJOVACIE MIESTA POTRUBIA_x000d__x000d_Napájacie miesta na hlavné potrubie DN 350 a odbočky DN 125 boli dohodnuté s investorom a budú upresnené pri montáži v rámci AD._x000d_Projekčné podklady:_x000d_Požiadavky vnútorných rozvodov obj. 508 – Ing. Jačanin.</dc:description>
  <cp:lastModifiedBy>.dinam</cp:lastModifiedBy>
  <cp:revision>16</cp:revision>
  <cp:lastPrinted>2017-09-20T04:43:00Z</cp:lastPrinted>
  <dcterms:created xsi:type="dcterms:W3CDTF">2017-09-18T19:18:00Z</dcterms:created>
  <dcterms:modified xsi:type="dcterms:W3CDTF">2018-02-09T04:44:00Z</dcterms:modified>
</cp:coreProperties>
</file>